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F1" w:rsidRDefault="007653F1" w:rsidP="00A54F7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</w:pPr>
    </w:p>
    <w:p w:rsidR="00A54F72" w:rsidRPr="00A54F72" w:rsidRDefault="00A54F72" w:rsidP="00A5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cs-CZ"/>
        </w:rPr>
        <w:t>Příloha č. 1 Výzvy k podání nabídky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cs-CZ"/>
        </w:rPr>
        <w:t xml:space="preserve">Pořízení clusteru pro projekt </w:t>
      </w:r>
      <w:proofErr w:type="spellStart"/>
      <w:r w:rsidRPr="00A54F7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cs-CZ"/>
        </w:rPr>
        <w:t>NextGen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cs-CZ"/>
        </w:rPr>
        <w:t xml:space="preserve"> Project: Technologie nové generace v evoluční genetice: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b/>
          <w:bCs/>
          <w:color w:val="000000"/>
          <w:sz w:val="24"/>
          <w:szCs w:val="24"/>
          <w:u w:val="single"/>
          <w:lang w:eastAsia="cs-CZ"/>
        </w:rPr>
        <w:t>Technická dokumentace - specifikace požadovaného plnění</w:t>
      </w:r>
    </w:p>
    <w:p w:rsidR="00A54F72" w:rsidRPr="00A54F72" w:rsidRDefault="00A54F72" w:rsidP="00A54F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Předmětem veřejné zakázky je dodávka, instalace a zprovoznění výpočetního clusteru složeného z uzlů se dvěma procesory se sdílenou pamětí. Instalací a zprovozněním se rozumí instalace hardware do RACK skříní, zapojení do elektrické sítě a spuštění hardware a ověření bezchybného chodu všech komponent. Pokud bude dodavatel preferovat prověření výkonových požadavků na vlastní instalaci </w:t>
      </w:r>
      <w:proofErr w:type="spellStart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linuxových</w:t>
      </w:r>
      <w:proofErr w:type="spellEnd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 strojů, musí být součástí instalace a zprovoznění také instalace příslušného počtu klientských stanic. Současně zadavatel požaduje poskytnutí rozšířené záruky včetně technické podpory pro jednotlivé komponenty výpočetního clusteru – požadovaný rozsah těchto plnění je uveden v zadávací dokumentaci.</w:t>
      </w:r>
    </w:p>
    <w:p w:rsidR="00A54F72" w:rsidRPr="00A54F72" w:rsidRDefault="00A54F72" w:rsidP="00A54F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Zadavatel požaduje kompletní řešení, sestávající se z totožných výpočetních uzlů, včetně montáže, tříletou (36 měsíců) rozšířenou záruku včetně technické podpory ve formě </w:t>
      </w:r>
      <w:proofErr w:type="spellStart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next</w:t>
      </w:r>
      <w:proofErr w:type="spellEnd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-business </w:t>
      </w:r>
      <w:proofErr w:type="spellStart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day</w:t>
      </w:r>
      <w:proofErr w:type="spellEnd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 xml:space="preserve">, on </w:t>
      </w:r>
      <w:proofErr w:type="spellStart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site</w:t>
      </w:r>
      <w:proofErr w:type="spellEnd"/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.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4"/>
          <w:szCs w:val="24"/>
          <w:u w:val="single"/>
          <w:lang w:eastAsia="cs-CZ"/>
        </w:rPr>
        <w:t>Požadavky zadavatele na výpočetní cluster jako celek</w:t>
      </w:r>
    </w:p>
    <w:p w:rsidR="00A54F72" w:rsidRPr="00A54F72" w:rsidRDefault="00A54F72" w:rsidP="00A54F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Zadavatel požaduje nabídky na výpočetní cluster s následujícími vlastnostmi:</w:t>
      </w:r>
      <w:r w:rsidRPr="00A54F72">
        <w:rPr>
          <w:rFonts w:ascii="Verdana" w:eastAsia="Times New Roman" w:hAnsi="Verdana" w:cs="Times New Roman"/>
          <w:color w:val="000000"/>
          <w:sz w:val="23"/>
          <w:szCs w:val="23"/>
          <w:lang w:eastAsia="cs-CZ"/>
        </w:rPr>
        <w:t xml:space="preserve"> </w:t>
      </w:r>
    </w:p>
    <w:p w:rsidR="00A54F72" w:rsidRPr="00A54F72" w:rsidRDefault="00A54F72" w:rsidP="00A54F72">
      <w:pPr>
        <w:numPr>
          <w:ilvl w:val="0"/>
          <w:numId w:val="2"/>
        </w:numPr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cs-CZ"/>
        </w:rPr>
        <w:t>čtyři identické uzly</w:t>
      </w: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, </w:t>
      </w:r>
      <w:r w:rsidRPr="00A54F7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cs-CZ"/>
        </w:rPr>
        <w:t>celkem alespoň 8 procesorů. Identickým uzlem se rozumí osazení zcela shodných komponent do každého uzlu, včetně použitých pamětí.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4"/>
          <w:szCs w:val="24"/>
          <w:u w:val="single"/>
          <w:lang w:eastAsia="cs-CZ"/>
        </w:rPr>
        <w:t>Požadavky zadavatele na jednotlivé části výpočetního clusteru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3"/>
          <w:szCs w:val="23"/>
          <w:lang w:eastAsia="cs-CZ"/>
        </w:rPr>
        <w:t>Každý výpočetní uzel musí splňovat tyto podmínky: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Provedení do standardního 19" racku, velikost uzlu musí být maximálně 1U.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V případě sdílení některých komponent více počítači redundance komponent společných pro všechny počítače (zdroje apod.). Redundance komponent v jednotlivých počítačích není nutná, v případě HW chyby může dojít k výpadku jednoho počítače, ale nesmí dojít k výpadku více než 2 počítačů vlivem selhání jedné komponenty.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Každý počítač (výpočetní jednotka se samostatnou pamětí,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chipsetem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, procesory, diskem, atd.) musí mít minimálně dva procesory se sdílenou pamětí v architektuře x86_64.</w:t>
      </w:r>
      <w:r w:rsidRPr="00A54F72">
        <w:rPr>
          <w:rFonts w:ascii="Verdana" w:eastAsia="Times New Roman" w:hAnsi="Verdana" w:cs="Arial"/>
          <w:b/>
          <w:bCs/>
          <w:color w:val="000000"/>
          <w:sz w:val="23"/>
          <w:szCs w:val="23"/>
          <w:lang w:eastAsia="cs-CZ"/>
        </w:rPr>
        <w:t xml:space="preserve"> 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Minimální výkon celého uzlu měřený nástrojem Spec2006 ve variantě FP,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rate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baseline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musí být alespoň 410 bodů. Zároveň výkon v tomto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benchmarku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přepočtený na jedno jádro CPU, tj. výkon celého uzlu vydělený počtem fyzických jader v uzlu, dosahuje alespoň 25. Počítají se pouze fyzická jádra, nikoli technologie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hyperthreading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. Zájemce uvede v nabídce deklarované hodnoty, které jeho řešení dosahuje, tyto hodnoty </w:t>
      </w: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lastRenderedPageBreak/>
        <w:t xml:space="preserve">budou ověřeny v akceptačních testech. Zadavatel preferuje CPU se spotřebou nižší než 120W/CPU. 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Operační paměť alespoň 4 GB ECC na jedno fyzické jádro, rychlost pamětí musí být alespoň 1600MHz. Všechny osazené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DIMMy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ve všech uzlech musí být identické.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Každý počítač musí mít přístup k lokálním diskům, na kterých bude nainstalován operační systém, odkládací prostor a prostor pro dočasné soubory, vše realizováno alespoň 2x600 GB disky s alespoň 10.000 RPM (SAS, FC, SCSI nebo SATA s NCQ). 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Rozhraní 1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Gb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Ethernet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a QDR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Infiniband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v každém uzlu. Rozhraní 1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Gb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Ethernet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musí podporovat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bootování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přes PXE.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Každý počítač umožňuje centralizovaný přístup ke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konzoli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(klávesnice + monitor) a zároveň podporuje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bootování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z externího zařízení, a to jak lokálně (KVM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switch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z USB – CD-ROM,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flash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disk, harddisk), tak po síti (síťový KVM nebo BMC,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z virtuálního média). 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Základní deska musí umožňovat změnu pořadí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bootovacích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zařízení.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Základní deska musí obsahovat management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controller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(BMC) kompatibilní se specifikací IPMI 2.0 nebo vyšší. BMC musí umět monitorovat minimálně funkčnost ventilátorů, teplotu CPU a základní desky; dále musí BMC poskytovat základní vzdálený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power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management (vypnout, zapnout, reset). Požadujeme možnost změny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bootovacího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zařízení vzdáleně pomocí BMC nebo KVM. 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Funkcionalita IPMI musí být přístupná z příkazové řádky běžící na vzdáleném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linuxovém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systému připojeném k BMC přes LAN. LAN rozhraní BMC musí být buď možné sdílet s 1Gb rozhraním uzlu, tj. pro připojení uzlu přes 1Gb rozhraní (bod 1.7) a pro připojení BMC přes LAN musí stačit celkově jeden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ethernetový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kabel, nebo musí být samostatně připojitelné, tj. pro připojení uzlu přes 1GB rozhraní (bod 1.7) a pro připojení BMC přes LAN jsou použity 2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ethernetové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kabely.</w:t>
      </w:r>
    </w:p>
    <w:p w:rsidR="00A54F72" w:rsidRPr="00A54F72" w:rsidRDefault="00A54F72" w:rsidP="00A54F72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Každý uzel musí mít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dualní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napájení, tj. 2 zdroje.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3"/>
          <w:szCs w:val="23"/>
          <w:lang w:eastAsia="cs-CZ"/>
        </w:rPr>
        <w:t>Síťová infrastruktura</w:t>
      </w:r>
    </w:p>
    <w:p w:rsidR="00A54F72" w:rsidRPr="00A54F72" w:rsidRDefault="00A54F72" w:rsidP="00A54F72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Součástí nabídky musí být propojovací UTP kabely pro 1Gb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ethernet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pro všechny stroje (délka kabelů 3m).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3"/>
          <w:szCs w:val="23"/>
          <w:lang w:eastAsia="cs-CZ"/>
        </w:rPr>
        <w:t>Ostatní</w:t>
      </w:r>
    </w:p>
    <w:p w:rsidR="00A54F72" w:rsidRPr="00A54F72" w:rsidRDefault="00A54F72" w:rsidP="00A54F7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Minimální záruční doba musí být 3 roky s reakční dobou nejpozději následující pracovní den (NBD). Výměny vadných komponent je třeba provádět výhradně v místě instalace serveru.</w:t>
      </w:r>
    </w:p>
    <w:p w:rsidR="00A54F72" w:rsidRPr="00A54F72" w:rsidRDefault="00A54F72" w:rsidP="00A54F7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V nabídce musí být explicitně uvedena cena a spotřeba jednoho výpočetního uzlu. Součástí nabídky musí být celková maximální spotřeba sestavy (maximální spotřeba odpovídá spotřebě při plném zatížení všech komponent, tedy všech výpočetních uzlů, front-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endů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, diskových polí).</w:t>
      </w:r>
    </w:p>
    <w:p w:rsidR="00A54F72" w:rsidRPr="00A54F72" w:rsidRDefault="00A54F72" w:rsidP="00A54F7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Uzly clusteru by mělo být možno koupit bez jakéhokoliv software. Pokud je programové vybavení nutnou součástí nabídky (například SW pro vzdálenou správu), musí být jasně specifikovány důvody a cena za takový SW musí být zahrnuta do ceny dodávky (na dobu neurčitou; pokud autor / výrobce / dodavatel SW neposkytuje licenci na dobu neurčitou, je uchazeč </w:t>
      </w: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lastRenderedPageBreak/>
        <w:t xml:space="preserve">povinen tuto skutečnost zadavateli prokázat a zajistit licenci nejméně do konce roku 2018). </w:t>
      </w:r>
    </w:p>
    <w:p w:rsidR="00A54F72" w:rsidRPr="00A54F72" w:rsidRDefault="00A54F72" w:rsidP="00A54F7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Všechny výpočetní uzly, které jsou touto technickou specifikací požadovány musí být použitelné v prostředí operačního systému Linux (zejména, ale nikoliv výhradně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Debian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a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OpenSuse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), tj. musí být podporovány distribučním nebo originálním jádrem nebo s využitím externích ovladačů dostupných ve zdrojovém kódu. </w:t>
      </w:r>
    </w:p>
    <w:p w:rsidR="00A54F72" w:rsidRPr="00A54F72" w:rsidRDefault="00A54F72" w:rsidP="00A54F72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Infiniband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switch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, KVM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switch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a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rack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není součástí nabídky. </w:t>
      </w:r>
    </w:p>
    <w:p w:rsidR="00A54F72" w:rsidRPr="00A54F72" w:rsidRDefault="00A54F72" w:rsidP="00A54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54F72" w:rsidRPr="00A54F72" w:rsidRDefault="00A54F72" w:rsidP="00A54F72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b/>
          <w:bCs/>
          <w:color w:val="000000"/>
          <w:sz w:val="23"/>
          <w:szCs w:val="23"/>
          <w:lang w:eastAsia="cs-CZ"/>
        </w:rPr>
        <w:t>Měření výkonu</w:t>
      </w:r>
    </w:p>
    <w:p w:rsidR="00A54F72" w:rsidRPr="00A54F72" w:rsidRDefault="00A54F72" w:rsidP="00A54F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54F72"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  <w:t>Součástí nabídky budou výkonnostní testy dle následujícího popisu.</w:t>
      </w:r>
    </w:p>
    <w:p w:rsidR="00A54F72" w:rsidRPr="00A54F72" w:rsidRDefault="00A54F72" w:rsidP="00A54F7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Dodavatel demonstruje dosažení požadovaných parametrů dle bodu 1.4 na některém z dodaných uzlů nakonfigurovaném dle uvedené technické specifikace. Zadavatel je schopen poskytnout Intel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Composer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verze 12.1 a CPU2006 SPEC v1.2. Případné licence pro </w:t>
      </w:r>
      <w:proofErr w:type="spellStart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komeční</w:t>
      </w:r>
      <w:proofErr w:type="spellEnd"/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distribuce Linuxu si dodavatel musí zajistit sám.</w:t>
      </w:r>
    </w:p>
    <w:p w:rsidR="00A54F72" w:rsidRPr="00A54F72" w:rsidRDefault="00A54F72" w:rsidP="00A54F72">
      <w:pPr>
        <w:numPr>
          <w:ilvl w:val="1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A54F72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Testy dodané pro účely hodnocení nemusejí být pořízeny na stejném hardware, který bude dodán, případně v dodávané konfiguraci. Dodavatel nicméně odpovídá za to, že skutečně naměřené hodnoty během akceptačních testů na skutečně dodané konfiguraci nebudou horší, než jaké přikládá k nabídce. Nevadí, budou-li skutečně naměřené hodnoty lepší.</w:t>
      </w:r>
    </w:p>
    <w:p w:rsidR="00952C01" w:rsidRDefault="00881AFA"/>
    <w:sectPr w:rsidR="00952C01" w:rsidSect="00750A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AFA" w:rsidRDefault="00881AFA" w:rsidP="007653F1">
      <w:pPr>
        <w:spacing w:after="0" w:line="240" w:lineRule="auto"/>
      </w:pPr>
      <w:r>
        <w:separator/>
      </w:r>
    </w:p>
  </w:endnote>
  <w:endnote w:type="continuationSeparator" w:id="0">
    <w:p w:rsidR="00881AFA" w:rsidRDefault="00881AFA" w:rsidP="0076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AFA" w:rsidRDefault="00881AFA" w:rsidP="007653F1">
      <w:pPr>
        <w:spacing w:after="0" w:line="240" w:lineRule="auto"/>
      </w:pPr>
      <w:r>
        <w:separator/>
      </w:r>
    </w:p>
  </w:footnote>
  <w:footnote w:type="continuationSeparator" w:id="0">
    <w:p w:rsidR="00881AFA" w:rsidRDefault="00881AFA" w:rsidP="00765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3F1" w:rsidRDefault="007653F1">
    <w:pPr>
      <w:pStyle w:val="Zhlav"/>
    </w:pPr>
    <w:r>
      <w:rPr>
        <w:rFonts w:ascii="Times New Roman" w:hAnsi="Times New Roman" w:cs="Times New Roman"/>
        <w:noProof/>
        <w:sz w:val="24"/>
        <w:szCs w:val="24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7653F1" w:rsidRDefault="007653F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024A2"/>
    <w:multiLevelType w:val="multilevel"/>
    <w:tmpl w:val="49408B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CA2B24"/>
    <w:multiLevelType w:val="multilevel"/>
    <w:tmpl w:val="831431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EF736E"/>
    <w:multiLevelType w:val="multilevel"/>
    <w:tmpl w:val="08BA1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1C0FB6"/>
    <w:multiLevelType w:val="multilevel"/>
    <w:tmpl w:val="E3D27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A4E66"/>
    <w:multiLevelType w:val="hybridMultilevel"/>
    <w:tmpl w:val="C1CC4014"/>
    <w:lvl w:ilvl="0" w:tplc="BEF408A8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F8A4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B840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0E5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E8B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7ACB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0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C4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F8F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8B2B1D"/>
    <w:multiLevelType w:val="multilevel"/>
    <w:tmpl w:val="AF909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D44A4B"/>
    <w:multiLevelType w:val="multilevel"/>
    <w:tmpl w:val="A96C32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E144FE"/>
    <w:multiLevelType w:val="multilevel"/>
    <w:tmpl w:val="3486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lvl w:ilvl="0">
        <w:numFmt w:val="upperLetter"/>
        <w:lvlText w:val="%1."/>
        <w:lvlJc w:val="left"/>
      </w:lvl>
    </w:lvlOverride>
  </w:num>
  <w:num w:numId="2">
    <w:abstractNumId w:val="7"/>
  </w:num>
  <w:num w:numId="3">
    <w:abstractNumId w:val="4"/>
  </w:num>
  <w:num w:numId="4">
    <w:abstractNumId w:val="3"/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54F72"/>
    <w:rsid w:val="00750A08"/>
    <w:rsid w:val="007653F1"/>
    <w:rsid w:val="0080562B"/>
    <w:rsid w:val="008202C7"/>
    <w:rsid w:val="00881AFA"/>
    <w:rsid w:val="008E559E"/>
    <w:rsid w:val="00A5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A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5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F7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A54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6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53F1"/>
  </w:style>
  <w:style w:type="paragraph" w:styleId="Zpat">
    <w:name w:val="footer"/>
    <w:basedOn w:val="Normln"/>
    <w:link w:val="ZpatChar"/>
    <w:uiPriority w:val="99"/>
    <w:semiHidden/>
    <w:unhideWhenUsed/>
    <w:rsid w:val="0076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65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927</Words>
  <Characters>5473</Characters>
  <Application>Microsoft Office Word</Application>
  <DocSecurity>0</DocSecurity>
  <Lines>45</Lines>
  <Paragraphs>12</Paragraphs>
  <ScaleCrop>false</ScaleCrop>
  <Company>Microsoft</Company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kprokopova</dc:creator>
  <cp:lastModifiedBy>kprokopova</cp:lastModifiedBy>
  <cp:revision>2</cp:revision>
  <dcterms:created xsi:type="dcterms:W3CDTF">2013-09-09T08:22:00Z</dcterms:created>
  <dcterms:modified xsi:type="dcterms:W3CDTF">2013-09-10T07:35:00Z</dcterms:modified>
</cp:coreProperties>
</file>